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23BCA" w14:textId="77777777" w:rsidR="006E092D" w:rsidRPr="006E092D" w:rsidRDefault="006E092D" w:rsidP="006E092D">
      <w:pPr>
        <w:pStyle w:val="berschrift1"/>
        <w:rPr>
          <w:bCs/>
        </w:rPr>
      </w:pPr>
      <w:r w:rsidRPr="006E092D">
        <w:rPr>
          <w:bCs/>
        </w:rPr>
        <w:t xml:space="preserve">Algorithmen zur Manipulation von Bildern </w:t>
      </w:r>
    </w:p>
    <w:p w14:paraId="03BC914C" w14:textId="4F7430FD" w:rsidR="006E092D" w:rsidRDefault="006E092D" w:rsidP="006E092D">
      <w:pPr>
        <w:pStyle w:val="berschrift2"/>
        <w:rPr>
          <w:b/>
          <w:bCs/>
        </w:rPr>
      </w:pPr>
      <w:r>
        <w:rPr>
          <w:b/>
          <w:bCs/>
        </w:rPr>
        <w:t xml:space="preserve">Hinweis zu Aufgabe </w:t>
      </w:r>
      <w:r w:rsidR="00A264CE">
        <w:rPr>
          <w:b/>
          <w:bCs/>
        </w:rPr>
        <w:t>4</w:t>
      </w:r>
      <w:r>
        <w:rPr>
          <w:b/>
          <w:bCs/>
        </w:rPr>
        <w:t xml:space="preserve">: </w:t>
      </w:r>
    </w:p>
    <w:p w14:paraId="1C4EF4EF" w14:textId="30EF8561" w:rsidR="001647BB" w:rsidRDefault="001647BB" w:rsidP="001647BB">
      <w:r>
        <w:t xml:space="preserve">Eine </w:t>
      </w:r>
      <w:r w:rsidR="00166AA6">
        <w:t xml:space="preserve">naheliegende </w:t>
      </w:r>
      <w:r>
        <w:t>Möglichkeit</w:t>
      </w:r>
      <w:r w:rsidR="00166AA6">
        <w:t>,</w:t>
      </w:r>
      <w:r>
        <w:t xml:space="preserve"> die Helligkeit eines Bildpunktes zu definieren</w:t>
      </w:r>
      <w:r w:rsidR="00166AA6">
        <w:t>,</w:t>
      </w:r>
      <w:r>
        <w:t xml:space="preserve"> ist, den Durchschnitt der Helligkeit des Rot-, des Grün- und des Blauwertes zu ermitteln. Wenn wir diesen durchschnittlichen Helligkeitswert für den Rot-, den Grün- und den Blauanteil übernehmen, erhalten wir den passenden Grauton. </w:t>
      </w:r>
    </w:p>
    <w:p w14:paraId="1C173989" w14:textId="77777777" w:rsidR="001647BB" w:rsidRDefault="001647BB" w:rsidP="001647BB">
      <w:r>
        <w:t>Tabelle 1 zeigt zwei Beispielrechnungen:</w:t>
      </w:r>
    </w:p>
    <w:tbl>
      <w:tblPr>
        <w:tblStyle w:val="Gitternetztabelle4Akzent6"/>
        <w:tblW w:w="0" w:type="auto"/>
        <w:tblLook w:val="0420" w:firstRow="1" w:lastRow="0" w:firstColumn="0" w:lastColumn="0" w:noHBand="0" w:noVBand="1"/>
      </w:tblPr>
      <w:tblGrid>
        <w:gridCol w:w="2547"/>
        <w:gridCol w:w="3494"/>
        <w:gridCol w:w="3021"/>
      </w:tblGrid>
      <w:tr w:rsidR="001647BB" w14:paraId="3D14AF6E" w14:textId="77777777" w:rsidTr="00552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47" w:type="dxa"/>
          </w:tcPr>
          <w:p w14:paraId="420705E6" w14:textId="77777777" w:rsidR="001647BB" w:rsidRDefault="001647BB" w:rsidP="005523BE">
            <w:bookmarkStart w:id="0" w:name="_Hlk40275289"/>
            <w:r>
              <w:t>Farbiger Bildpunkt</w:t>
            </w:r>
          </w:p>
        </w:tc>
        <w:tc>
          <w:tcPr>
            <w:tcW w:w="3494" w:type="dxa"/>
          </w:tcPr>
          <w:p w14:paraId="227A2D2F" w14:textId="77777777" w:rsidR="001647BB" w:rsidRDefault="001647BB" w:rsidP="005523BE">
            <w:r>
              <w:t>Durchschnittliche Helligkeit</w:t>
            </w:r>
          </w:p>
        </w:tc>
        <w:tc>
          <w:tcPr>
            <w:tcW w:w="3021" w:type="dxa"/>
          </w:tcPr>
          <w:p w14:paraId="44243BBE" w14:textId="77777777" w:rsidR="001647BB" w:rsidRDefault="001647BB" w:rsidP="005523BE">
            <w:r>
              <w:t>RGB-Wert des Grautons</w:t>
            </w:r>
          </w:p>
        </w:tc>
      </w:tr>
      <w:tr w:rsidR="001647BB" w14:paraId="5BD78A59" w14:textId="77777777" w:rsidTr="005523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547" w:type="dxa"/>
          </w:tcPr>
          <w:p w14:paraId="5D9AECC5" w14:textId="77777777" w:rsidR="001647BB" w:rsidRDefault="001647BB" w:rsidP="005523BE">
            <w:r w:rsidRPr="00D067AE">
              <w:rPr>
                <w:color w:val="FF0000"/>
              </w:rPr>
              <w:t>R: 240</w:t>
            </w:r>
            <w:r>
              <w:t xml:space="preserve">, </w:t>
            </w:r>
            <w:r w:rsidRPr="00D067AE">
              <w:rPr>
                <w:color w:val="00FF00"/>
              </w:rPr>
              <w:t>G: 123</w:t>
            </w:r>
            <w:r>
              <w:t xml:space="preserve">, </w:t>
            </w:r>
            <w:r w:rsidRPr="00D067AE">
              <w:rPr>
                <w:color w:val="0000FF"/>
              </w:rPr>
              <w:t>B: 12</w:t>
            </w:r>
          </w:p>
        </w:tc>
        <w:tc>
          <w:tcPr>
            <w:tcW w:w="3494" w:type="dxa"/>
          </w:tcPr>
          <w:p w14:paraId="1B7A2B4B" w14:textId="77777777" w:rsidR="001647BB" w:rsidRDefault="001647BB" w:rsidP="005523BE">
            <w:r>
              <w:t>(</w:t>
            </w:r>
            <w:r w:rsidRPr="00D067AE">
              <w:rPr>
                <w:color w:val="FF0000"/>
              </w:rPr>
              <w:t xml:space="preserve">240 </w:t>
            </w:r>
            <w:r>
              <w:t xml:space="preserve">+ </w:t>
            </w:r>
            <w:r w:rsidRPr="00D067AE">
              <w:rPr>
                <w:color w:val="00FF00"/>
              </w:rPr>
              <w:t xml:space="preserve">123 </w:t>
            </w:r>
            <w:r>
              <w:t xml:space="preserve">+ </w:t>
            </w:r>
            <w:r w:rsidRPr="00D067AE">
              <w:rPr>
                <w:color w:val="0000FF"/>
              </w:rPr>
              <w:t>12</w:t>
            </w:r>
            <w:r>
              <w:t>) : 3 = 375 : 3 = 125</w:t>
            </w:r>
          </w:p>
        </w:tc>
        <w:tc>
          <w:tcPr>
            <w:tcW w:w="3021" w:type="dxa"/>
          </w:tcPr>
          <w:p w14:paraId="38DB9B09" w14:textId="77777777" w:rsidR="001647BB" w:rsidRDefault="001647BB" w:rsidP="005523BE">
            <w:r w:rsidRPr="00D067AE">
              <w:rPr>
                <w:color w:val="FF0000"/>
              </w:rPr>
              <w:t>R: 125</w:t>
            </w:r>
            <w:r>
              <w:t xml:space="preserve">, </w:t>
            </w:r>
            <w:r w:rsidRPr="00D067AE">
              <w:rPr>
                <w:color w:val="00FF00"/>
              </w:rPr>
              <w:t>G: 125</w:t>
            </w:r>
            <w:r>
              <w:t xml:space="preserve">, </w:t>
            </w:r>
            <w:r w:rsidRPr="00D067AE">
              <w:rPr>
                <w:color w:val="0000FF"/>
              </w:rPr>
              <w:t>B: 125</w:t>
            </w:r>
          </w:p>
        </w:tc>
      </w:tr>
      <w:tr w:rsidR="001647BB" w14:paraId="1B3E3605" w14:textId="77777777" w:rsidTr="005523BE">
        <w:tc>
          <w:tcPr>
            <w:tcW w:w="2547" w:type="dxa"/>
          </w:tcPr>
          <w:p w14:paraId="76E36F9D" w14:textId="77777777" w:rsidR="001647BB" w:rsidRDefault="001647BB" w:rsidP="005523BE">
            <w:r w:rsidRPr="00D067AE">
              <w:rPr>
                <w:color w:val="FF0000"/>
              </w:rPr>
              <w:t>R: 60</w:t>
            </w:r>
            <w:r>
              <w:t xml:space="preserve">, </w:t>
            </w:r>
            <w:r w:rsidRPr="00D067AE">
              <w:rPr>
                <w:color w:val="00FF00"/>
              </w:rPr>
              <w:t>G: 120</w:t>
            </w:r>
            <w:r>
              <w:t xml:space="preserve">, </w:t>
            </w:r>
            <w:r w:rsidRPr="00D067AE">
              <w:rPr>
                <w:color w:val="0000FF"/>
              </w:rPr>
              <w:t>B: 150</w:t>
            </w:r>
          </w:p>
        </w:tc>
        <w:tc>
          <w:tcPr>
            <w:tcW w:w="3494" w:type="dxa"/>
          </w:tcPr>
          <w:p w14:paraId="0E3DE0D6" w14:textId="77777777" w:rsidR="001647BB" w:rsidRDefault="001647BB" w:rsidP="005523BE">
            <w:r>
              <w:t>(</w:t>
            </w:r>
            <w:r w:rsidRPr="00D067AE">
              <w:rPr>
                <w:color w:val="FF0000"/>
              </w:rPr>
              <w:t xml:space="preserve">60 </w:t>
            </w:r>
            <w:r>
              <w:t xml:space="preserve">+ </w:t>
            </w:r>
            <w:r w:rsidRPr="00D067AE">
              <w:rPr>
                <w:color w:val="00FF00"/>
              </w:rPr>
              <w:t xml:space="preserve">120 </w:t>
            </w:r>
            <w:r>
              <w:t xml:space="preserve">+ </w:t>
            </w:r>
            <w:r w:rsidRPr="00D067AE">
              <w:rPr>
                <w:color w:val="0000FF"/>
              </w:rPr>
              <w:t>150</w:t>
            </w:r>
            <w:r>
              <w:t>) : 3 = 330 : 3 = 110</w:t>
            </w:r>
          </w:p>
        </w:tc>
        <w:tc>
          <w:tcPr>
            <w:tcW w:w="3021" w:type="dxa"/>
          </w:tcPr>
          <w:p w14:paraId="76E71C86" w14:textId="77777777" w:rsidR="001647BB" w:rsidRDefault="001647BB" w:rsidP="005523BE">
            <w:pPr>
              <w:keepNext/>
            </w:pPr>
            <w:r w:rsidRPr="00D067AE">
              <w:rPr>
                <w:color w:val="FF0000"/>
              </w:rPr>
              <w:t>R: 110</w:t>
            </w:r>
            <w:r>
              <w:t xml:space="preserve">, </w:t>
            </w:r>
            <w:r w:rsidRPr="00D067AE">
              <w:rPr>
                <w:color w:val="00FF00"/>
              </w:rPr>
              <w:t>G: 110</w:t>
            </w:r>
            <w:r>
              <w:t xml:space="preserve">, </w:t>
            </w:r>
            <w:r w:rsidRPr="00D067AE">
              <w:rPr>
                <w:color w:val="0000FF"/>
              </w:rPr>
              <w:t>B: 110</w:t>
            </w:r>
          </w:p>
        </w:tc>
      </w:tr>
    </w:tbl>
    <w:bookmarkEnd w:id="0"/>
    <w:p w14:paraId="3CAB22AD" w14:textId="1938B0B9" w:rsidR="001647BB" w:rsidRDefault="001647BB" w:rsidP="001647BB">
      <w:pPr>
        <w:pStyle w:val="UnterschriftINFSII"/>
      </w:pPr>
      <w:r>
        <w:t xml:space="preserve">Tabelle </w:t>
      </w:r>
      <w:fldSimple w:instr=" SEQ Tabelle \* ARABIC ">
        <w:r w:rsidR="000E112E">
          <w:rPr>
            <w:noProof/>
          </w:rPr>
          <w:t>1</w:t>
        </w:r>
      </w:fldSimple>
      <w:r>
        <w:t>: Reduktion eines Farbtons auf den passenden Grauton</w:t>
      </w:r>
    </w:p>
    <w:p w14:paraId="4D00EF64" w14:textId="007E2AC8" w:rsidR="001647BB" w:rsidRDefault="001647BB" w:rsidP="00B2059E">
      <w:r>
        <w:t xml:space="preserve">Da das Auge die Farbanteile unterschiedlich </w:t>
      </w:r>
      <w:r w:rsidR="00166AA6">
        <w:t>hell</w:t>
      </w:r>
      <w:r>
        <w:t xml:space="preserve"> wahrnimmt, können die Farbanteile beim Ermitteln der Gesamthelligkeit </w:t>
      </w:r>
      <w:r w:rsidR="00166AA6">
        <w:t>u</w:t>
      </w:r>
      <w:r>
        <w:t xml:space="preserve">nterschiedlich gewichtet werden. So wird ein intensives Blau in der Regel als dunkler wahrgenommen, als ein </w:t>
      </w:r>
      <w:r w:rsidR="00166AA6">
        <w:t>G</w:t>
      </w:r>
      <w:r>
        <w:t>rün gleicher Intensität.</w:t>
      </w:r>
    </w:p>
    <w:p w14:paraId="627BED87" w14:textId="55FD8C01" w:rsidR="00970575" w:rsidRDefault="001647BB" w:rsidP="00B2059E">
      <w:r>
        <w:t xml:space="preserve">Alternativ können z. B. der Median, das Maximum, das Minimum oder auch der Durchschnitt aus Minimum und Maximum </w:t>
      </w:r>
      <w:r w:rsidR="00166AA6">
        <w:t xml:space="preserve">der Farbanteile verwendet werden, um die </w:t>
      </w:r>
      <w:r>
        <w:t xml:space="preserve">Helligkeit </w:t>
      </w:r>
      <w:r w:rsidR="00166AA6">
        <w:t>eines Bildpunktes zu definieren.</w:t>
      </w:r>
    </w:p>
    <w:p w14:paraId="11B3F4E5" w14:textId="3FC6C30B" w:rsidR="00166AA6" w:rsidRDefault="00166AA6" w:rsidP="00B2059E"/>
    <w:p w14:paraId="78DABDF9" w14:textId="77777777" w:rsidR="00166AA6" w:rsidRDefault="00166AA6" w:rsidP="00166AA6">
      <w:r>
        <w:t>Quelle: Janecke, M. (2013). Farbfotos in Graustufen umwandeln</w:t>
      </w:r>
      <w:r w:rsidRPr="00166AA6">
        <w:rPr>
          <w:color w:val="4E6B9E"/>
        </w:rPr>
        <w:t xml:space="preserve">. </w:t>
      </w:r>
      <w:hyperlink r:id="rId8" w:history="1">
        <w:r w:rsidRPr="00166AA6">
          <w:rPr>
            <w:rStyle w:val="Hyperlink"/>
            <w:color w:val="4E6B9E"/>
          </w:rPr>
          <w:t>https://prlbr.de/2013/farben-in-graustufen-umwandeln/</w:t>
        </w:r>
      </w:hyperlink>
      <w:r w:rsidRPr="00166AA6">
        <w:rPr>
          <w:color w:val="4E6B9E"/>
        </w:rPr>
        <w:t xml:space="preserve"> </w:t>
      </w:r>
      <w:r>
        <w:t>[Datum des Zugriffs: 29.05.2020]</w:t>
      </w:r>
    </w:p>
    <w:p w14:paraId="47354C45" w14:textId="7AB6E533" w:rsidR="00166AA6" w:rsidRPr="00B2059E" w:rsidRDefault="00166AA6" w:rsidP="00B2059E"/>
    <w:sectPr w:rsidR="00166AA6" w:rsidRPr="00B2059E" w:rsidSect="003179DB">
      <w:headerReference w:type="default" r:id="rId9"/>
      <w:footerReference w:type="default" r:id="rId10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6F7CC" w14:textId="77777777" w:rsidR="006C0AC3" w:rsidRDefault="006C0AC3" w:rsidP="006D1346">
      <w:pPr>
        <w:spacing w:after="0" w:line="240" w:lineRule="auto"/>
      </w:pPr>
      <w:r>
        <w:separator/>
      </w:r>
    </w:p>
  </w:endnote>
  <w:endnote w:type="continuationSeparator" w:id="0">
    <w:p w14:paraId="5DB31978" w14:textId="77777777" w:rsidR="006C0AC3" w:rsidRDefault="006C0AC3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01EED93D" w:rsidR="006C0AC3" w:rsidRPr="007E2D0D" w:rsidRDefault="006C0AC3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16F17BED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>Ylva Brandt, Stand: Ju</w:t>
    </w:r>
    <w:r w:rsidR="00A510AB">
      <w:rPr>
        <w:color w:val="808080" w:themeColor="background1" w:themeShade="80"/>
        <w:sz w:val="20"/>
        <w:szCs w:val="20"/>
      </w:rPr>
      <w:t>n</w:t>
    </w:r>
    <w:r w:rsidRPr="007E2D0D">
      <w:rPr>
        <w:color w:val="808080" w:themeColor="background1" w:themeShade="80"/>
        <w:sz w:val="20"/>
        <w:szCs w:val="20"/>
      </w:rPr>
      <w:t>i 20</w:t>
    </w:r>
    <w:r w:rsidR="00A510AB">
      <w:rPr>
        <w:color w:val="808080" w:themeColor="background1" w:themeShade="80"/>
        <w:sz w:val="20"/>
        <w:szCs w:val="20"/>
      </w:rPr>
      <w:t>20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4BFFF" w14:textId="77777777" w:rsidR="006C0AC3" w:rsidRDefault="006C0AC3" w:rsidP="006D1346">
      <w:pPr>
        <w:spacing w:after="0" w:line="240" w:lineRule="auto"/>
      </w:pPr>
      <w:r>
        <w:separator/>
      </w:r>
    </w:p>
  </w:footnote>
  <w:footnote w:type="continuationSeparator" w:id="0">
    <w:p w14:paraId="6BF6E33F" w14:textId="77777777" w:rsidR="006C0AC3" w:rsidRDefault="006C0AC3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164CB3B2" w:rsidR="006C0AC3" w:rsidRDefault="006C0AC3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0A7E34E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34645"/>
    <w:multiLevelType w:val="hybridMultilevel"/>
    <w:tmpl w:val="637E368C"/>
    <w:lvl w:ilvl="0" w:tplc="18A4A634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10571F"/>
    <w:multiLevelType w:val="hybridMultilevel"/>
    <w:tmpl w:val="E424B94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5B2395"/>
    <w:multiLevelType w:val="hybridMultilevel"/>
    <w:tmpl w:val="7D8838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835F9F"/>
    <w:multiLevelType w:val="hybridMultilevel"/>
    <w:tmpl w:val="230875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64906"/>
    <w:multiLevelType w:val="hybridMultilevel"/>
    <w:tmpl w:val="7AB2737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C43D6D"/>
    <w:multiLevelType w:val="hybridMultilevel"/>
    <w:tmpl w:val="91E817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27E41BE"/>
    <w:multiLevelType w:val="hybridMultilevel"/>
    <w:tmpl w:val="055879DA"/>
    <w:lvl w:ilvl="0" w:tplc="57409424">
      <w:start w:val="1"/>
      <w:numFmt w:val="decimal"/>
      <w:lvlText w:val="[%1]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806AF9"/>
    <w:multiLevelType w:val="hybridMultilevel"/>
    <w:tmpl w:val="4E2E947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8EF4380"/>
    <w:multiLevelType w:val="hybridMultilevel"/>
    <w:tmpl w:val="7A30E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6"/>
  </w:num>
  <w:num w:numId="3">
    <w:abstractNumId w:val="4"/>
  </w:num>
  <w:num w:numId="4">
    <w:abstractNumId w:val="22"/>
  </w:num>
  <w:num w:numId="5">
    <w:abstractNumId w:val="29"/>
  </w:num>
  <w:num w:numId="6">
    <w:abstractNumId w:val="27"/>
  </w:num>
  <w:num w:numId="7">
    <w:abstractNumId w:val="17"/>
  </w:num>
  <w:num w:numId="8">
    <w:abstractNumId w:val="15"/>
  </w:num>
  <w:num w:numId="9">
    <w:abstractNumId w:val="0"/>
  </w:num>
  <w:num w:numId="10">
    <w:abstractNumId w:val="13"/>
  </w:num>
  <w:num w:numId="11">
    <w:abstractNumId w:val="2"/>
  </w:num>
  <w:num w:numId="12">
    <w:abstractNumId w:val="24"/>
  </w:num>
  <w:num w:numId="13">
    <w:abstractNumId w:val="1"/>
  </w:num>
  <w:num w:numId="14">
    <w:abstractNumId w:val="9"/>
  </w:num>
  <w:num w:numId="15">
    <w:abstractNumId w:val="11"/>
  </w:num>
  <w:num w:numId="16">
    <w:abstractNumId w:val="16"/>
  </w:num>
  <w:num w:numId="17">
    <w:abstractNumId w:val="12"/>
  </w:num>
  <w:num w:numId="18">
    <w:abstractNumId w:val="8"/>
  </w:num>
  <w:num w:numId="19">
    <w:abstractNumId w:val="3"/>
  </w:num>
  <w:num w:numId="20">
    <w:abstractNumId w:val="28"/>
  </w:num>
  <w:num w:numId="21">
    <w:abstractNumId w:val="20"/>
  </w:num>
  <w:num w:numId="22">
    <w:abstractNumId w:val="21"/>
    <w:lvlOverride w:ilvl="0">
      <w:startOverride w:val="1"/>
    </w:lvlOverride>
  </w:num>
  <w:num w:numId="23">
    <w:abstractNumId w:val="21"/>
    <w:lvlOverride w:ilvl="0">
      <w:startOverride w:val="1"/>
    </w:lvlOverride>
  </w:num>
  <w:num w:numId="24">
    <w:abstractNumId w:val="21"/>
    <w:lvlOverride w:ilvl="0">
      <w:startOverride w:val="1"/>
    </w:lvlOverride>
  </w:num>
  <w:num w:numId="25">
    <w:abstractNumId w:val="21"/>
    <w:lvlOverride w:ilvl="0">
      <w:startOverride w:val="1"/>
    </w:lvlOverride>
  </w:num>
  <w:num w:numId="26">
    <w:abstractNumId w:val="18"/>
  </w:num>
  <w:num w:numId="27">
    <w:abstractNumId w:val="10"/>
  </w:num>
  <w:num w:numId="28">
    <w:abstractNumId w:val="25"/>
  </w:num>
  <w:num w:numId="29">
    <w:abstractNumId w:val="5"/>
  </w:num>
  <w:num w:numId="30">
    <w:abstractNumId w:val="14"/>
  </w:num>
  <w:num w:numId="31">
    <w:abstractNumId w:val="23"/>
  </w:num>
  <w:num w:numId="32">
    <w:abstractNumId w:val="7"/>
  </w:num>
  <w:num w:numId="33">
    <w:abstractNumId w:val="6"/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7751"/>
    <w:rsid w:val="000221F3"/>
    <w:rsid w:val="00026157"/>
    <w:rsid w:val="00061BBE"/>
    <w:rsid w:val="00071419"/>
    <w:rsid w:val="00072ED2"/>
    <w:rsid w:val="0008508F"/>
    <w:rsid w:val="00087065"/>
    <w:rsid w:val="000E112E"/>
    <w:rsid w:val="000E1332"/>
    <w:rsid w:val="00126D3F"/>
    <w:rsid w:val="001647BB"/>
    <w:rsid w:val="00166AA6"/>
    <w:rsid w:val="00186A5F"/>
    <w:rsid w:val="001C2D07"/>
    <w:rsid w:val="001D4DE6"/>
    <w:rsid w:val="001F622A"/>
    <w:rsid w:val="00213BB4"/>
    <w:rsid w:val="00221D86"/>
    <w:rsid w:val="00244639"/>
    <w:rsid w:val="00254485"/>
    <w:rsid w:val="00256839"/>
    <w:rsid w:val="00264EA1"/>
    <w:rsid w:val="0029271C"/>
    <w:rsid w:val="002A0A86"/>
    <w:rsid w:val="003179DB"/>
    <w:rsid w:val="00330DB0"/>
    <w:rsid w:val="00334221"/>
    <w:rsid w:val="00342A99"/>
    <w:rsid w:val="00381B15"/>
    <w:rsid w:val="003906DC"/>
    <w:rsid w:val="003B7431"/>
    <w:rsid w:val="003E4F79"/>
    <w:rsid w:val="003F45B4"/>
    <w:rsid w:val="003F5E3B"/>
    <w:rsid w:val="00411C62"/>
    <w:rsid w:val="00412C43"/>
    <w:rsid w:val="00415B86"/>
    <w:rsid w:val="0042385F"/>
    <w:rsid w:val="00435E5C"/>
    <w:rsid w:val="00445135"/>
    <w:rsid w:val="004850AB"/>
    <w:rsid w:val="00494093"/>
    <w:rsid w:val="004B0D19"/>
    <w:rsid w:val="004B35A7"/>
    <w:rsid w:val="004C259A"/>
    <w:rsid w:val="004E2918"/>
    <w:rsid w:val="004F1042"/>
    <w:rsid w:val="00546127"/>
    <w:rsid w:val="00554E24"/>
    <w:rsid w:val="00571C03"/>
    <w:rsid w:val="005E301E"/>
    <w:rsid w:val="005E5D30"/>
    <w:rsid w:val="005F6623"/>
    <w:rsid w:val="00600140"/>
    <w:rsid w:val="00612863"/>
    <w:rsid w:val="0063498A"/>
    <w:rsid w:val="006464A2"/>
    <w:rsid w:val="00663FCC"/>
    <w:rsid w:val="006835F6"/>
    <w:rsid w:val="00693FB8"/>
    <w:rsid w:val="006B2673"/>
    <w:rsid w:val="006B39C8"/>
    <w:rsid w:val="006C0AC3"/>
    <w:rsid w:val="006D1346"/>
    <w:rsid w:val="006D2CB4"/>
    <w:rsid w:val="006E07FD"/>
    <w:rsid w:val="006E092D"/>
    <w:rsid w:val="006E3FA5"/>
    <w:rsid w:val="006E447F"/>
    <w:rsid w:val="006F44AA"/>
    <w:rsid w:val="00725A4D"/>
    <w:rsid w:val="0074626D"/>
    <w:rsid w:val="007674A3"/>
    <w:rsid w:val="00767591"/>
    <w:rsid w:val="0078342D"/>
    <w:rsid w:val="00793006"/>
    <w:rsid w:val="007D022E"/>
    <w:rsid w:val="007D72BF"/>
    <w:rsid w:val="007E2D0D"/>
    <w:rsid w:val="007F2DBB"/>
    <w:rsid w:val="00844EA0"/>
    <w:rsid w:val="008508C6"/>
    <w:rsid w:val="00857C67"/>
    <w:rsid w:val="008674F1"/>
    <w:rsid w:val="00871052"/>
    <w:rsid w:val="008A360B"/>
    <w:rsid w:val="008A6407"/>
    <w:rsid w:val="008B14DF"/>
    <w:rsid w:val="008D49C0"/>
    <w:rsid w:val="008D7372"/>
    <w:rsid w:val="008F2A39"/>
    <w:rsid w:val="009323F4"/>
    <w:rsid w:val="009650B4"/>
    <w:rsid w:val="00966FCC"/>
    <w:rsid w:val="00970575"/>
    <w:rsid w:val="00983AC1"/>
    <w:rsid w:val="009B1F75"/>
    <w:rsid w:val="009E1FF5"/>
    <w:rsid w:val="009E7F84"/>
    <w:rsid w:val="00A00FBD"/>
    <w:rsid w:val="00A01422"/>
    <w:rsid w:val="00A061E9"/>
    <w:rsid w:val="00A14798"/>
    <w:rsid w:val="00A21CB4"/>
    <w:rsid w:val="00A264CE"/>
    <w:rsid w:val="00A36CBF"/>
    <w:rsid w:val="00A43086"/>
    <w:rsid w:val="00A510AB"/>
    <w:rsid w:val="00A54521"/>
    <w:rsid w:val="00A73063"/>
    <w:rsid w:val="00A85851"/>
    <w:rsid w:val="00AA35A0"/>
    <w:rsid w:val="00AA432E"/>
    <w:rsid w:val="00AA75E8"/>
    <w:rsid w:val="00AB6D36"/>
    <w:rsid w:val="00AC2022"/>
    <w:rsid w:val="00AC5E66"/>
    <w:rsid w:val="00B07884"/>
    <w:rsid w:val="00B2059E"/>
    <w:rsid w:val="00B45DB5"/>
    <w:rsid w:val="00B65416"/>
    <w:rsid w:val="00B73C44"/>
    <w:rsid w:val="00B7608A"/>
    <w:rsid w:val="00B92DDF"/>
    <w:rsid w:val="00BE39C6"/>
    <w:rsid w:val="00C020BB"/>
    <w:rsid w:val="00C26C50"/>
    <w:rsid w:val="00C74D4B"/>
    <w:rsid w:val="00CA7665"/>
    <w:rsid w:val="00CC05C6"/>
    <w:rsid w:val="00CC0BE0"/>
    <w:rsid w:val="00CC6DC4"/>
    <w:rsid w:val="00D01058"/>
    <w:rsid w:val="00D101D6"/>
    <w:rsid w:val="00D10AC8"/>
    <w:rsid w:val="00D33E38"/>
    <w:rsid w:val="00D72D0B"/>
    <w:rsid w:val="00D775E8"/>
    <w:rsid w:val="00DC54DE"/>
    <w:rsid w:val="00DE3722"/>
    <w:rsid w:val="00DE4A90"/>
    <w:rsid w:val="00DF56A6"/>
    <w:rsid w:val="00E032F5"/>
    <w:rsid w:val="00E10441"/>
    <w:rsid w:val="00E13FD8"/>
    <w:rsid w:val="00E34A08"/>
    <w:rsid w:val="00E36D04"/>
    <w:rsid w:val="00E64B3F"/>
    <w:rsid w:val="00E67B23"/>
    <w:rsid w:val="00E700F0"/>
    <w:rsid w:val="00EB5F95"/>
    <w:rsid w:val="00EC6E4C"/>
    <w:rsid w:val="00EF0090"/>
    <w:rsid w:val="00EF0B39"/>
    <w:rsid w:val="00EF42B2"/>
    <w:rsid w:val="00F04A61"/>
    <w:rsid w:val="00F37CED"/>
    <w:rsid w:val="00F65F18"/>
    <w:rsid w:val="00FC1954"/>
    <w:rsid w:val="00FC7F62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213BB4"/>
    <w:rPr>
      <w:color w:val="8CBD3A"/>
    </w:rPr>
  </w:style>
  <w:style w:type="character" w:customStyle="1" w:styleId="UnterschriftINFSIZchn">
    <w:name w:val="Unterschrift_INFSI Zchn"/>
    <w:basedOn w:val="BeschriftungZchn"/>
    <w:link w:val="UnterschriftINFSI"/>
    <w:rsid w:val="00213BB4"/>
    <w:rPr>
      <w:i/>
      <w:iCs/>
      <w:color w:val="8CBD3A"/>
      <w:sz w:val="18"/>
      <w:szCs w:val="18"/>
    </w:rPr>
  </w:style>
  <w:style w:type="character" w:customStyle="1" w:styleId="LinkFunoteZchn">
    <w:name w:val="Link_Fußnote Zchn"/>
    <w:basedOn w:val="Absatz-Standardschriftart"/>
    <w:link w:val="LinkFunote"/>
    <w:locked/>
    <w:rsid w:val="00213BB4"/>
    <w:rPr>
      <w:color w:val="4E6B9E"/>
      <w:sz w:val="20"/>
      <w:szCs w:val="20"/>
    </w:rPr>
  </w:style>
  <w:style w:type="paragraph" w:customStyle="1" w:styleId="LinkFunote">
    <w:name w:val="Link_Fußnote"/>
    <w:basedOn w:val="Funotentext"/>
    <w:link w:val="LinkFunoteZchn"/>
    <w:qFormat/>
    <w:rsid w:val="00213BB4"/>
    <w:rPr>
      <w:color w:val="4E6B9E"/>
    </w:rPr>
  </w:style>
  <w:style w:type="character" w:styleId="Hervorhebung">
    <w:name w:val="Emphasis"/>
    <w:basedOn w:val="Absatz-Standardschriftart"/>
    <w:uiPriority w:val="20"/>
    <w:qFormat/>
    <w:rsid w:val="00213B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lbr.de/2013/farben-in-graustufen-umwandel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D057C-42F7-4F88-99DC-0494BE789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6</cp:revision>
  <cp:lastPrinted>2020-06-25T13:47:00Z</cp:lastPrinted>
  <dcterms:created xsi:type="dcterms:W3CDTF">2020-06-10T12:08:00Z</dcterms:created>
  <dcterms:modified xsi:type="dcterms:W3CDTF">2020-06-25T13:47:00Z</dcterms:modified>
</cp:coreProperties>
</file>